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CC3C7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CC3C75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CC3C75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6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6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13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15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15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17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19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21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23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24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26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28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29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30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31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32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34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CC3C7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36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CC3C7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CC3C7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CC3C75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свойств входного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Лаборанты химического анализа должны быть готовы определять оптимальные средства и методы анализа различных природных и </w:t>
      </w:r>
      <w:r w:rsidRPr="00140C0E">
        <w:rPr>
          <w:rFonts w:ascii="Times New Roman" w:hAnsi="Times New Roman" w:cs="Times New Roman"/>
          <w:sz w:val="28"/>
          <w:szCs w:val="28"/>
        </w:rPr>
        <w:lastRenderedPageBreak/>
        <w:t>искусственных 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666ED7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Правила работы с термометрами различных видов</w:t>
            </w:r>
          </w:p>
          <w:p w:rsidR="002E5F0A" w:rsidRP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  <w:p w:rsidR="002E5F0A" w:rsidRPr="006B6623" w:rsidRDefault="002E5F0A" w:rsidP="00D1323B">
            <w:pPr>
              <w:pStyle w:val="ListaBlue"/>
              <w:numPr>
                <w:ilvl w:val="0"/>
                <w:numId w:val="0"/>
              </w:numPr>
              <w:ind w:left="714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2E5F0A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F5353F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анализ</w:t>
            </w: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Правила ведения и оформления технической документации на выполнение заданного вида анализа,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составления отчетов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расчета показателей контроля качества измерений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Записывать результаты с точностью, указанной в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нормативной документации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7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5353F" w:rsidRDefault="005C6A23" w:rsidP="00F5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521" w:type="dxa"/>
        <w:tblInd w:w="108" w:type="dxa"/>
        <w:tblLayout w:type="fixed"/>
        <w:tblLook w:val="04A0"/>
      </w:tblPr>
      <w:tblGrid>
        <w:gridCol w:w="2379"/>
        <w:gridCol w:w="3459"/>
        <w:gridCol w:w="112"/>
        <w:gridCol w:w="3571"/>
      </w:tblGrid>
      <w:tr w:rsidR="000B44DE" w:rsidRPr="00140C0E" w:rsidTr="000B44DE">
        <w:tc>
          <w:tcPr>
            <w:tcW w:w="2379" w:type="dxa"/>
            <w:vAlign w:val="center"/>
          </w:tcPr>
          <w:p w:rsidR="000B44DE" w:rsidRPr="00140C0E" w:rsidRDefault="000B44D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18" w:name="_Toc477989732"/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459" w:type="dxa"/>
            <w:vAlign w:val="center"/>
          </w:tcPr>
          <w:p w:rsidR="000B44DE" w:rsidRPr="00140C0E" w:rsidRDefault="000B44D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3683" w:type="dxa"/>
            <w:gridSpan w:val="2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CE5F38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4167FD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по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Контроль качества неорганических веществ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CE5F38" w:rsidRDefault="000B44DE" w:rsidP="004167FD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выставляют оценку по измеримым параметрам по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места, подготовка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6A4C8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AB5B3F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Модуль 3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714D14" w:rsidRDefault="000B44DE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Кондуктометрический метод определения содержания водорастворимых солей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4167FD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  <w:bookmarkStart w:id="19" w:name="_GoBack"/>
            <w:bookmarkEnd w:id="19"/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6A4C8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AB5B3F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4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AB5B3F" w:rsidRDefault="000B44DE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AB5B3F" w:rsidRDefault="000B44DE" w:rsidP="00AB5B3F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по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</w:tcPr>
          <w:p w:rsidR="000B44DE" w:rsidRDefault="000B44DE" w:rsidP="00AB5B3F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0B44DE" w:rsidRPr="00BF4785" w:rsidRDefault="000B44DE" w:rsidP="00AB5B3F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AB5B3F" w:rsidRDefault="000B44DE" w:rsidP="00AB5B3F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0B44DE" w:rsidRPr="006A4C87" w:rsidRDefault="000B44DE" w:rsidP="00AB5B3F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AB5B3F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5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AB5B3F" w:rsidRDefault="000B44DE" w:rsidP="004167F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0B44DE" w:rsidRPr="00140C0E" w:rsidRDefault="000B44DE" w:rsidP="004167FD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140C0E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по 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B44DE" w:rsidRPr="00BF4785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B44DE" w:rsidRPr="006A4C8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</w:tbl>
    <w:p w:rsidR="00AB5B3F" w:rsidRDefault="00AB5B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bookmarkEnd w:id="1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В процессе оценки каждого модуля один эксперт закрепляется за определенным участником и проставляет 100 % баллов в соответствии с таблицей критериев оценки. При выполнении заданий на площадке находятся два и более независимых эксперта, не закрепленные за конкретным участником. Они свободно перемещаются по конкурсной площадке и участвуют в оценке работы всех участников. Таким образом, оценка каждого участника обеспечивается группой из трех экспертов.</w:t>
      </w:r>
    </w:p>
    <w:p w:rsidR="00135EF6" w:rsidRDefault="001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75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не менее чем из </w:t>
      </w:r>
      <w:r w:rsidR="0075691C">
        <w:rPr>
          <w:rFonts w:ascii="Times New Roman" w:hAnsi="Times New Roman"/>
          <w:sz w:val="28"/>
          <w:szCs w:val="28"/>
        </w:rPr>
        <w:t>двух</w:t>
      </w:r>
      <w:r w:rsidRPr="00B37833">
        <w:rPr>
          <w:rFonts w:ascii="Times New Roman" w:hAnsi="Times New Roman"/>
          <w:sz w:val="28"/>
          <w:szCs w:val="28"/>
        </w:rPr>
        <w:t xml:space="preserve"> независимых модулей, которые оцениваются по отдельности.</w:t>
      </w:r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lastRenderedPageBreak/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72435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/>
      </w:tblPr>
      <w:tblGrid>
        <w:gridCol w:w="2849"/>
        <w:gridCol w:w="3035"/>
        <w:gridCol w:w="301"/>
        <w:gridCol w:w="3336"/>
      </w:tblGrid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035" w:type="dxa"/>
            <w:vAlign w:val="center"/>
          </w:tcPr>
          <w:p w:rsidR="00125A41" w:rsidRPr="00125A41" w:rsidRDefault="00007BAB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25A41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637" w:type="dxa"/>
            <w:gridSpan w:val="2"/>
            <w:vAlign w:val="center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</w:tr>
      <w:tr w:rsidR="00AB5B3F" w:rsidRPr="00125A41" w:rsidTr="00D1323B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672" w:type="dxa"/>
            <w:gridSpan w:val="3"/>
          </w:tcPr>
          <w:p w:rsidR="00AB5B3F" w:rsidRPr="00AB5B3F" w:rsidRDefault="00AB5B3F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125A41" w:rsidRPr="00125A41" w:rsidRDefault="00AB5B3F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AB5B3F" w:rsidRPr="00125A41" w:rsidTr="00D1323B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  <w:gridSpan w:val="3"/>
          </w:tcPr>
          <w:p w:rsidR="00AB5B3F" w:rsidRPr="00125A41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Для получения необходимых результатов предлагается использование компьютерной программы</w:t>
            </w:r>
            <w:r w:rsidRPr="00714D14">
              <w:rPr>
                <w:rFonts w:ascii="Calibri" w:eastAsia="Calibri" w:hAnsi="Calibri" w:cs="Times New Roman"/>
                <w:lang w:val="ru-RU"/>
              </w:rPr>
              <w:t>.</w:t>
            </w:r>
          </w:p>
        </w:tc>
      </w:tr>
      <w:tr w:rsidR="00AB5B3F" w:rsidRPr="00125A41" w:rsidTr="00D1323B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AB5B3F" w:rsidRPr="00140C0E" w:rsidRDefault="00AB5B3F" w:rsidP="00AB5B3F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Контроль качества неорганических веществ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AB5B3F" w:rsidRPr="00125A41" w:rsidRDefault="00AB5B3F" w:rsidP="00AB5B3F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  <w:gridSpan w:val="3"/>
          </w:tcPr>
          <w:p w:rsidR="00AB5B3F" w:rsidRPr="00714D14" w:rsidRDefault="00714D14" w:rsidP="00AB5B3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выполнения данного модуля необходимо с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</w:t>
            </w:r>
            <w:proofErr w:type="spellEnd"/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4D14" w:rsidRPr="00125A41" w:rsidTr="00D1323B">
        <w:tc>
          <w:tcPr>
            <w:tcW w:w="2849" w:type="dxa"/>
          </w:tcPr>
          <w:p w:rsidR="00714D14" w:rsidRPr="00AB5B3F" w:rsidRDefault="00714D14" w:rsidP="00714D1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714D14" w:rsidRPr="00714D14" w:rsidRDefault="00714D14" w:rsidP="00714D14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Кондуктометрический метод определения содержания водорастворимых солей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</w:rPr>
              <w:t>Подготовить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</w:rPr>
              <w:t>оборудование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</w:rPr>
              <w:t>для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</w:rPr>
              <w:t>эксперимента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672" w:type="dxa"/>
            <w:gridSpan w:val="3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 часа</w:t>
            </w:r>
          </w:p>
        </w:tc>
      </w:tr>
      <w:tr w:rsidR="00714D14" w:rsidRPr="00125A41" w:rsidTr="00714D14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36" w:type="dxa"/>
            <w:gridSpan w:val="2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составить и реализовать алгоритм экспериментального задания в соответствии с нормативным документом.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заданный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параметр</w:t>
            </w:r>
            <w:proofErr w:type="spellEnd"/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lang w:val="ru-RU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Подобрать посуду. Приготовить реактивы. Организовать рабочее место.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205658" w:rsidRPr="006F5BA3" w:rsidRDefault="00205658" w:rsidP="0071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изменений в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A86A3F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CC3C75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D1323B" w:rsidRPr="00C34D40" w:rsidRDefault="00D1323B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400B74">
        <w:rPr>
          <w:rFonts w:ascii="Times New Roman" w:eastAsia="Arial Unicode MS" w:hAnsi="Times New Roman" w:cs="Times New Roman"/>
          <w:sz w:val="28"/>
          <w:szCs w:val="28"/>
        </w:rPr>
        <w:t>4 часа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26" w:rsidRDefault="00F24026" w:rsidP="00970F49">
      <w:pPr>
        <w:spacing w:after="0" w:line="240" w:lineRule="auto"/>
      </w:pPr>
      <w:r>
        <w:separator/>
      </w:r>
    </w:p>
  </w:endnote>
  <w:endnote w:type="continuationSeparator" w:id="0">
    <w:p w:rsidR="00F24026" w:rsidRDefault="00F2402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904"/>
      <w:gridCol w:w="965"/>
    </w:tblGrid>
    <w:tr w:rsidR="00D1323B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D1323B" w:rsidRPr="00832EBB" w:rsidRDefault="00D1323B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D1323B" w:rsidRPr="00832EBB" w:rsidRDefault="00D1323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1323B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904" w:type="dxa"/>
              <w:shd w:val="clear" w:color="auto" w:fill="auto"/>
              <w:vAlign w:val="center"/>
            </w:tcPr>
            <w:p w:rsidR="00D1323B" w:rsidRPr="009955F8" w:rsidRDefault="00D1323B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D1323B" w:rsidRPr="00832EBB" w:rsidRDefault="00CC3C7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D1323B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00B74">
            <w:rPr>
              <w:caps/>
              <w:noProof/>
              <w:sz w:val="18"/>
              <w:szCs w:val="18"/>
            </w:rPr>
            <w:t>33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1323B" w:rsidRDefault="00D132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26" w:rsidRDefault="00F24026" w:rsidP="00970F49">
      <w:pPr>
        <w:spacing w:after="0" w:line="240" w:lineRule="auto"/>
      </w:pPr>
      <w:r>
        <w:separator/>
      </w:r>
    </w:p>
  </w:footnote>
  <w:footnote w:type="continuationSeparator" w:id="0">
    <w:p w:rsidR="00F24026" w:rsidRDefault="00F2402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3B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1323B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1323B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1323B" w:rsidRPr="00B45AA4" w:rsidRDefault="00D1323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7BAB"/>
    <w:rsid w:val="00020623"/>
    <w:rsid w:val="00056CDE"/>
    <w:rsid w:val="000708FC"/>
    <w:rsid w:val="000A1F96"/>
    <w:rsid w:val="000B3397"/>
    <w:rsid w:val="000B44DE"/>
    <w:rsid w:val="000D74AA"/>
    <w:rsid w:val="001024BE"/>
    <w:rsid w:val="00125A41"/>
    <w:rsid w:val="00127743"/>
    <w:rsid w:val="00135EF6"/>
    <w:rsid w:val="00140C0E"/>
    <w:rsid w:val="001553FC"/>
    <w:rsid w:val="0017196C"/>
    <w:rsid w:val="0017612A"/>
    <w:rsid w:val="001F707C"/>
    <w:rsid w:val="00205658"/>
    <w:rsid w:val="00220E70"/>
    <w:rsid w:val="00267239"/>
    <w:rsid w:val="0029547E"/>
    <w:rsid w:val="002B1426"/>
    <w:rsid w:val="002B2C07"/>
    <w:rsid w:val="002C4E5F"/>
    <w:rsid w:val="002E5F0A"/>
    <w:rsid w:val="002E6912"/>
    <w:rsid w:val="002F2906"/>
    <w:rsid w:val="00306F4C"/>
    <w:rsid w:val="0031672C"/>
    <w:rsid w:val="00317A19"/>
    <w:rsid w:val="00333911"/>
    <w:rsid w:val="00334165"/>
    <w:rsid w:val="00374D65"/>
    <w:rsid w:val="00382FE5"/>
    <w:rsid w:val="003934F8"/>
    <w:rsid w:val="00397A1B"/>
    <w:rsid w:val="003A21C8"/>
    <w:rsid w:val="003B17BC"/>
    <w:rsid w:val="003D1E51"/>
    <w:rsid w:val="00400B74"/>
    <w:rsid w:val="004167FD"/>
    <w:rsid w:val="004254FE"/>
    <w:rsid w:val="0044354A"/>
    <w:rsid w:val="004741E8"/>
    <w:rsid w:val="004749FA"/>
    <w:rsid w:val="004917C4"/>
    <w:rsid w:val="004A07A5"/>
    <w:rsid w:val="004B692B"/>
    <w:rsid w:val="004D096E"/>
    <w:rsid w:val="004E7905"/>
    <w:rsid w:val="00510059"/>
    <w:rsid w:val="0051302E"/>
    <w:rsid w:val="00554CBB"/>
    <w:rsid w:val="005560AC"/>
    <w:rsid w:val="0056194A"/>
    <w:rsid w:val="0056204E"/>
    <w:rsid w:val="00564C9E"/>
    <w:rsid w:val="005770AB"/>
    <w:rsid w:val="005B0DEC"/>
    <w:rsid w:val="005C6A23"/>
    <w:rsid w:val="005E30DC"/>
    <w:rsid w:val="0062789A"/>
    <w:rsid w:val="0063396F"/>
    <w:rsid w:val="0064491A"/>
    <w:rsid w:val="00653B50"/>
    <w:rsid w:val="00664574"/>
    <w:rsid w:val="00666ED7"/>
    <w:rsid w:val="006873B8"/>
    <w:rsid w:val="006A4C87"/>
    <w:rsid w:val="006B0FEA"/>
    <w:rsid w:val="006B6623"/>
    <w:rsid w:val="006C028C"/>
    <w:rsid w:val="006C6D6D"/>
    <w:rsid w:val="006C7A3B"/>
    <w:rsid w:val="006F5BA3"/>
    <w:rsid w:val="00707AA6"/>
    <w:rsid w:val="00714D14"/>
    <w:rsid w:val="0072435B"/>
    <w:rsid w:val="00727F97"/>
    <w:rsid w:val="0074372D"/>
    <w:rsid w:val="0075691C"/>
    <w:rsid w:val="00764D2F"/>
    <w:rsid w:val="007735DC"/>
    <w:rsid w:val="0079595F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32EBB"/>
    <w:rsid w:val="00834734"/>
    <w:rsid w:val="00835BF6"/>
    <w:rsid w:val="00881DD2"/>
    <w:rsid w:val="00882B54"/>
    <w:rsid w:val="0089754C"/>
    <w:rsid w:val="008B560B"/>
    <w:rsid w:val="008D6DCF"/>
    <w:rsid w:val="008E4BCC"/>
    <w:rsid w:val="009018F0"/>
    <w:rsid w:val="00953113"/>
    <w:rsid w:val="00970F49"/>
    <w:rsid w:val="0099285E"/>
    <w:rsid w:val="009931F0"/>
    <w:rsid w:val="009955F8"/>
    <w:rsid w:val="009F57C0"/>
    <w:rsid w:val="00A02EFF"/>
    <w:rsid w:val="00A27EE4"/>
    <w:rsid w:val="00A52D1B"/>
    <w:rsid w:val="00A57976"/>
    <w:rsid w:val="00A75F2E"/>
    <w:rsid w:val="00A86A3F"/>
    <w:rsid w:val="00A87627"/>
    <w:rsid w:val="00A91D4B"/>
    <w:rsid w:val="00AA2B8A"/>
    <w:rsid w:val="00AB5B3F"/>
    <w:rsid w:val="00AE6AB7"/>
    <w:rsid w:val="00AE78D2"/>
    <w:rsid w:val="00AE7A32"/>
    <w:rsid w:val="00AF066F"/>
    <w:rsid w:val="00B162B5"/>
    <w:rsid w:val="00B17260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1691"/>
    <w:rsid w:val="00BA2CF0"/>
    <w:rsid w:val="00BB09F8"/>
    <w:rsid w:val="00BC3813"/>
    <w:rsid w:val="00BC7808"/>
    <w:rsid w:val="00BF4785"/>
    <w:rsid w:val="00C06EBC"/>
    <w:rsid w:val="00C405B7"/>
    <w:rsid w:val="00C84DD7"/>
    <w:rsid w:val="00C85606"/>
    <w:rsid w:val="00C95538"/>
    <w:rsid w:val="00CA6CCD"/>
    <w:rsid w:val="00CC3C75"/>
    <w:rsid w:val="00CC50B7"/>
    <w:rsid w:val="00CE0CF2"/>
    <w:rsid w:val="00CE5F38"/>
    <w:rsid w:val="00CF541F"/>
    <w:rsid w:val="00D12ABD"/>
    <w:rsid w:val="00D1323B"/>
    <w:rsid w:val="00D14977"/>
    <w:rsid w:val="00D16F4B"/>
    <w:rsid w:val="00D2075B"/>
    <w:rsid w:val="00D37CEC"/>
    <w:rsid w:val="00D41269"/>
    <w:rsid w:val="00D45007"/>
    <w:rsid w:val="00D47618"/>
    <w:rsid w:val="00D72207"/>
    <w:rsid w:val="00D91F57"/>
    <w:rsid w:val="00D94F37"/>
    <w:rsid w:val="00DE39D8"/>
    <w:rsid w:val="00DE5614"/>
    <w:rsid w:val="00DE6E23"/>
    <w:rsid w:val="00E2586F"/>
    <w:rsid w:val="00E81E25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24026"/>
    <w:rsid w:val="00F5353F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F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8EE0-5905-4456-A4BD-A8B3521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         Лабораторный химический анализ</dc:creator>
  <cp:lastModifiedBy>1</cp:lastModifiedBy>
  <cp:revision>8</cp:revision>
  <dcterms:created xsi:type="dcterms:W3CDTF">2018-04-19T08:25:00Z</dcterms:created>
  <dcterms:modified xsi:type="dcterms:W3CDTF">2018-08-30T09:04:00Z</dcterms:modified>
</cp:coreProperties>
</file>